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1FAC" w14:textId="77777777" w:rsidR="00EC29D0" w:rsidRDefault="00EC29D0" w:rsidP="00EC29D0">
      <w:pPr>
        <w:pStyle w:val="APPENDIX2"/>
        <w:jc w:val="center"/>
      </w:pPr>
      <w:bookmarkStart w:id="0" w:name="_Toc90974119"/>
      <w:bookmarkStart w:id="1" w:name="_Toc93404112"/>
      <w:r w:rsidRPr="00BE5904">
        <w:t xml:space="preserve">Appendix </w:t>
      </w:r>
      <w:r>
        <w:t>D</w:t>
      </w:r>
      <w:r w:rsidRPr="00BE5904">
        <w:t>.3 - Business Requirements Form</w:t>
      </w:r>
      <w:bookmarkEnd w:id="0"/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2"/>
        <w:gridCol w:w="8538"/>
      </w:tblGrid>
      <w:tr w:rsidR="00EC29D0" w:rsidRPr="00FA3E7F" w14:paraId="36FC1F24" w14:textId="77777777" w:rsidTr="003956D2">
        <w:trPr>
          <w:cantSplit/>
          <w:trHeight w:val="20"/>
          <w:tblHeader/>
        </w:trPr>
        <w:tc>
          <w:tcPr>
            <w:tcW w:w="434" w:type="pct"/>
            <w:shd w:val="clear" w:color="auto" w:fill="C00000"/>
          </w:tcPr>
          <w:p w14:paraId="0BC7EC2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b/>
                <w:bCs/>
                <w:szCs w:val="20"/>
              </w:rPr>
              <w:t>ID</w:t>
            </w:r>
          </w:p>
        </w:tc>
        <w:tc>
          <w:tcPr>
            <w:tcW w:w="4566" w:type="pct"/>
            <w:shd w:val="clear" w:color="auto" w:fill="C00000"/>
          </w:tcPr>
          <w:p w14:paraId="0FBBE99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b/>
                <w:bCs/>
                <w:szCs w:val="20"/>
              </w:rPr>
              <w:t>Requirement</w:t>
            </w:r>
          </w:p>
        </w:tc>
      </w:tr>
      <w:tr w:rsidR="00EC29D0" w:rsidRPr="00FA3E7F" w14:paraId="14FE9001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595959" w:themeFill="text1" w:themeFillTint="A6"/>
          </w:tcPr>
          <w:p w14:paraId="01437C27" w14:textId="77777777" w:rsidR="00EC29D0" w:rsidRPr="00FA3E7F" w:rsidRDefault="00EC29D0" w:rsidP="003956D2">
            <w:pPr>
              <w:spacing w:before="40" w:after="40"/>
              <w:rPr>
                <w:color w:val="FFFFFF" w:themeColor="background1"/>
                <w:szCs w:val="20"/>
              </w:rPr>
            </w:pPr>
            <w:r w:rsidRPr="00FA3E7F">
              <w:rPr>
                <w:color w:val="FFFFFF" w:themeColor="background1"/>
                <w:szCs w:val="20"/>
              </w:rPr>
              <w:t>Asset Inventory Management</w:t>
            </w:r>
          </w:p>
        </w:tc>
      </w:tr>
      <w:tr w:rsidR="00EC29D0" w:rsidRPr="00FA3E7F" w14:paraId="0FEF614B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04E733CF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FR-1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34BB4914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create, track and manage an unlimited number of capitalized and non-capitalized assets by various classification structures (type, subtype, class, etc.).</w:t>
            </w:r>
          </w:p>
        </w:tc>
      </w:tr>
      <w:tr w:rsidR="00EC29D0" w:rsidRPr="00FA3E7F" w14:paraId="47CB7AC8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6D742DF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D14F36E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4F48378C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643230D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-2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74893878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specify the geographical location of an asset using an interactive mapping interface. Users should have the ability to access, view, and edit asset data using the mapping interface.</w:t>
            </w:r>
          </w:p>
        </w:tc>
      </w:tr>
      <w:tr w:rsidR="00EC29D0" w:rsidRPr="00FA3E7F" w14:paraId="065CF5ED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2087DBB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703C303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163282C1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3753428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-3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02C7FE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capture multiple attributes of an asset (e.g., material, length, depth, manufacturer, status).</w:t>
            </w:r>
          </w:p>
        </w:tc>
      </w:tr>
      <w:tr w:rsidR="00EC29D0" w:rsidRPr="00FA3E7F" w14:paraId="16FE0BA7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2ACED97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C7887C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117BC3FD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2B11D32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-4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65DE053C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configure and customize the types of attributes collected for each asset, depending on its type.</w:t>
            </w:r>
          </w:p>
        </w:tc>
      </w:tr>
      <w:tr w:rsidR="00EC29D0" w:rsidRPr="00FA3E7F" w14:paraId="1F7E38CC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541A77AF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66E45F3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572FE88A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4855A27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-5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8462CC3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track and report on warranty periods for assets.</w:t>
            </w:r>
          </w:p>
        </w:tc>
      </w:tr>
      <w:tr w:rsidR="00EC29D0" w:rsidRPr="00FA3E7F" w14:paraId="4843FDCA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63F8DCB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D37FF24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4B95C8B2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736C15EE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-6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4924CB7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for a user to capture and store a photograph of the asset using a mobile device.</w:t>
            </w:r>
          </w:p>
        </w:tc>
      </w:tr>
      <w:tr w:rsidR="00EC29D0" w:rsidRPr="00FA3E7F" w14:paraId="628D91DB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4C4121B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79B652A6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567710A8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595959" w:themeFill="text1" w:themeFillTint="A6"/>
          </w:tcPr>
          <w:p w14:paraId="6C215998" w14:textId="77777777" w:rsidR="00EC29D0" w:rsidRPr="00FA3E7F" w:rsidRDefault="00EC29D0" w:rsidP="003956D2">
            <w:pPr>
              <w:spacing w:before="40" w:after="40"/>
              <w:rPr>
                <w:color w:val="FFFFFF" w:themeColor="background1"/>
                <w:szCs w:val="20"/>
              </w:rPr>
            </w:pPr>
            <w:r w:rsidRPr="00FA3E7F">
              <w:rPr>
                <w:color w:val="FFFFFF" w:themeColor="background1"/>
                <w:szCs w:val="20"/>
              </w:rPr>
              <w:t>Tangible Capital Asset (TCA) Accounting</w:t>
            </w:r>
          </w:p>
        </w:tc>
      </w:tr>
      <w:tr w:rsidR="00EC29D0" w:rsidRPr="00FA3E7F" w14:paraId="6878CDA8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30C6E15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-7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58C06894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generate accounting entries to maintain assets (e.g., transfers, acquisitions, additions, betterments, depreciation, disposals)</w:t>
            </w:r>
          </w:p>
        </w:tc>
      </w:tr>
      <w:tr w:rsidR="00EC29D0" w:rsidRPr="00FA3E7F" w14:paraId="4DBB3C6E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7D768257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46733B6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6B050A91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230A298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-8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57E799D3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calculate and share information with the general ledger to provide an updated valuation of fixed assets on a regular basis.</w:t>
            </w:r>
          </w:p>
        </w:tc>
      </w:tr>
      <w:tr w:rsidR="00EC29D0" w:rsidRPr="00FA3E7F" w14:paraId="660D9706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3B73517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20A0924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6B354AE5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32679F1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-9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4C4E198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record insurance information of an asset, including company name/address, insurable value, renewal date, type of coverage, coverage limits, etc.</w:t>
            </w:r>
          </w:p>
        </w:tc>
      </w:tr>
      <w:tr w:rsidR="00EC29D0" w:rsidRPr="00FA3E7F" w14:paraId="051C0167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768715A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37564ED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3FE2F298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1E6E77BB" w14:textId="77777777" w:rsidR="00EC29D0" w:rsidRPr="00FA3E7F" w:rsidRDefault="00EC29D0" w:rsidP="003956D2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lastRenderedPageBreak/>
              <w:t>FR -10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0EF3F3F7" w14:textId="77777777" w:rsidR="00EC29D0" w:rsidRPr="00FA3E7F" w:rsidRDefault="00EC29D0" w:rsidP="003956D2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post to a Work-in-Progress (WIP) account when payments are made against an asset.</w:t>
            </w:r>
          </w:p>
        </w:tc>
      </w:tr>
      <w:tr w:rsidR="00EC29D0" w:rsidRPr="00FA3E7F" w14:paraId="6EB00B35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00817CF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02A4287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3B4BE948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72AAD04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-11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E04DAD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maintain assets with shared ownership, maintain the percentage of the asset owned.</w:t>
            </w:r>
          </w:p>
        </w:tc>
      </w:tr>
      <w:tr w:rsidR="00EC29D0" w:rsidRPr="00FA3E7F" w14:paraId="558289FA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6A41491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659D102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52200FFC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0BF430C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-12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3200574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for automatic calculation of depreciation based on frequency (monthly, quarterly, annually) and methods (straight-line, accelerated) and generate appropriate journal entry transactions.</w:t>
            </w:r>
          </w:p>
        </w:tc>
      </w:tr>
      <w:tr w:rsidR="00EC29D0" w:rsidRPr="00FA3E7F" w14:paraId="30B4BA98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3312194E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861883F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56F0EE86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20672DA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-13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314FA16F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allocate depreciation to another classification structure when an asset is transferred during the year.</w:t>
            </w:r>
          </w:p>
        </w:tc>
      </w:tr>
      <w:tr w:rsidR="00EC29D0" w:rsidRPr="00FA3E7F" w14:paraId="4CD46CB4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73FB644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0E43746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1C69379F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0C5B0977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-14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B86C61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group multiple assets together into a single “</w:t>
            </w:r>
            <w:r>
              <w:rPr>
                <w:szCs w:val="20"/>
              </w:rPr>
              <w:t>parent</w:t>
            </w:r>
            <w:r w:rsidRPr="00FA3E7F">
              <w:rPr>
                <w:szCs w:val="20"/>
              </w:rPr>
              <w:t xml:space="preserve">” asset for accounting purposes. In this approach, assets would have the ability to be tracked at higher “levels” (pools) </w:t>
            </w:r>
            <w:r>
              <w:rPr>
                <w:szCs w:val="20"/>
              </w:rPr>
              <w:t xml:space="preserve">for TCA accounting, </w:t>
            </w:r>
            <w:r w:rsidRPr="00FA3E7F">
              <w:rPr>
                <w:szCs w:val="20"/>
              </w:rPr>
              <w:t>while retaining individual asset records</w:t>
            </w:r>
            <w:r>
              <w:rPr>
                <w:szCs w:val="20"/>
              </w:rPr>
              <w:t xml:space="preserve"> in the AMS</w:t>
            </w:r>
            <w:r w:rsidRPr="00FA3E7F">
              <w:rPr>
                <w:szCs w:val="20"/>
              </w:rPr>
              <w:t>.</w:t>
            </w:r>
          </w:p>
        </w:tc>
      </w:tr>
      <w:tr w:rsidR="00EC29D0" w:rsidRPr="00FA3E7F" w14:paraId="3B3042D5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0B87802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684BB373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24BB0219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4580A91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-15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73E49F2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classify assets to match existing tangible capital asset financial statements and the flexibility to make changes to the classifications to accommodate future changes.</w:t>
            </w:r>
          </w:p>
        </w:tc>
      </w:tr>
      <w:tr w:rsidR="00EC29D0" w:rsidRPr="00FA3E7F" w14:paraId="60BFD63A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354C4C07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4B0D854E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0591FE1A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3A8A678E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-16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6AB38F6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maintain information on leased assets, including date of lease, terms of lease, annual costs, maintenance contract.</w:t>
            </w:r>
          </w:p>
        </w:tc>
      </w:tr>
      <w:tr w:rsidR="00EC29D0" w:rsidRPr="00FA3E7F" w14:paraId="7FAB7571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4CCDD31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0F27A9D8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05535539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595959" w:themeFill="text1" w:themeFillTint="A6"/>
          </w:tcPr>
          <w:p w14:paraId="6FC5762B" w14:textId="77777777" w:rsidR="00EC29D0" w:rsidRPr="00B42ACA" w:rsidRDefault="00EC29D0" w:rsidP="003956D2">
            <w:pPr>
              <w:keepNext/>
              <w:spacing w:before="40" w:after="4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Asset Inspection &amp; Condition Assessments</w:t>
            </w:r>
          </w:p>
        </w:tc>
      </w:tr>
      <w:tr w:rsidR="00EC29D0" w:rsidRPr="00FA3E7F" w14:paraId="11D09B37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68F91A16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-17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376AA88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create customized asset inspection forms with various data fields and types (</w:t>
            </w:r>
            <w:proofErr w:type="gramStart"/>
            <w:r w:rsidRPr="00FA3E7F">
              <w:rPr>
                <w:szCs w:val="20"/>
              </w:rPr>
              <w:t>e.g.</w:t>
            </w:r>
            <w:proofErr w:type="gramEnd"/>
            <w:r w:rsidRPr="00FA3E7F">
              <w:rPr>
                <w:szCs w:val="20"/>
              </w:rPr>
              <w:t xml:space="preserve"> numeric, text, date). Forms should be configurable based on a business unit’s unique needs.</w:t>
            </w:r>
          </w:p>
        </w:tc>
      </w:tr>
      <w:tr w:rsidR="00EC29D0" w:rsidRPr="00FA3E7F" w14:paraId="64AC91E0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0ADF41BC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31E977F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34B0FEBB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4B65395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-18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05554E7F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track and manage historical inspection records.</w:t>
            </w:r>
          </w:p>
        </w:tc>
      </w:tr>
      <w:tr w:rsidR="00EC29D0" w:rsidRPr="00FA3E7F" w14:paraId="54AD4892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0529264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6AF0DB3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499129A7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16C5D9E4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-19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3F44B2EE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create and schedule future inspections to assets using pre-defined maintenance schedules using various periodic intervals (e.g., recurring - every January 15th, periodic - every 3 months, conditional).</w:t>
            </w:r>
          </w:p>
        </w:tc>
      </w:tr>
      <w:tr w:rsidR="00EC29D0" w:rsidRPr="00FA3E7F" w14:paraId="2B2ADE89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60F7D9A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lastRenderedPageBreak/>
              <w:t>Response:</w:t>
            </w:r>
          </w:p>
          <w:p w14:paraId="1F661B1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6B999430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26A7EDAF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 -20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3562A18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populate inspection forms using mobile applications (e.g., smartphone or tablet).</w:t>
            </w:r>
          </w:p>
        </w:tc>
      </w:tr>
      <w:tr w:rsidR="00EC29D0" w:rsidRPr="00FA3E7F" w14:paraId="7A58E29C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7DD6DB7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36AF338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3064562B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3EFA84B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FR-21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2BC1444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for a completed inspection to automatically create a work order or maintenance request based on the findings of the inspection.</w:t>
            </w:r>
          </w:p>
        </w:tc>
      </w:tr>
      <w:tr w:rsidR="00EC29D0" w:rsidRPr="00FA3E7F" w14:paraId="1B5221DD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144A805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0929955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46C7FCA9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38E9E22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FR-22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7F965F03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determine and/or calculate the condition of an asset on a 1 to 5 rating scale on the findings of an inspection.</w:t>
            </w:r>
          </w:p>
        </w:tc>
      </w:tr>
      <w:tr w:rsidR="00EC29D0" w:rsidRPr="00FA3E7F" w14:paraId="0CA7444E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0134C1EE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60007577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0C671BF9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07F41CC3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FR-23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3B000FB3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estimate the condition of each asset based on its age and estimated useful life.</w:t>
            </w:r>
            <w:r>
              <w:rPr>
                <w:szCs w:val="20"/>
              </w:rPr>
              <w:t xml:space="preserve"> This condition should only be reported in the absence of an actual inspection.</w:t>
            </w:r>
          </w:p>
        </w:tc>
      </w:tr>
      <w:tr w:rsidR="00EC29D0" w:rsidRPr="00FA3E7F" w14:paraId="25900065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6AA8E00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6BA7F5D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B42ACA" w14:paraId="6659E664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595959" w:themeFill="text1" w:themeFillTint="A6"/>
          </w:tcPr>
          <w:p w14:paraId="206BE5C1" w14:textId="77777777" w:rsidR="00EC29D0" w:rsidRPr="00B42ACA" w:rsidRDefault="00EC29D0" w:rsidP="003956D2">
            <w:pPr>
              <w:spacing w:before="40" w:after="4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Maintenance Management</w:t>
            </w:r>
          </w:p>
        </w:tc>
      </w:tr>
      <w:tr w:rsidR="00EC29D0" w:rsidRPr="00FA3E7F" w14:paraId="4118718E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21E87CE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FR-24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6F0C2C9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create, track and manage maintenance work.</w:t>
            </w:r>
          </w:p>
        </w:tc>
      </w:tr>
      <w:tr w:rsidR="00EC29D0" w:rsidRPr="00FA3E7F" w14:paraId="2D62EDD5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61C92B6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7D93E27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7C15F18B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474AC3B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FR-25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A4249C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assign maintenance work to individual assets.</w:t>
            </w:r>
          </w:p>
        </w:tc>
      </w:tr>
      <w:tr w:rsidR="00EC29D0" w:rsidRPr="00FA3E7F" w14:paraId="7D8A09C8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70E06AE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6C7271F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477949EA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33A638C4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FR-26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0ADC7B77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schedule future maintenance work to assets using pre-defined maintenance schedules using various periodic intervals (e.g., recurring - every January 15th, periodic - every 3 months, conditional).</w:t>
            </w:r>
          </w:p>
        </w:tc>
      </w:tr>
      <w:tr w:rsidR="00EC29D0" w:rsidRPr="00FA3E7F" w14:paraId="76AFDB68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13156D0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38036E6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25ADAE33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53810B2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FR-27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894F5F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notify staff when maintenance work needs to be completed or are overdue.</w:t>
            </w:r>
          </w:p>
        </w:tc>
      </w:tr>
      <w:tr w:rsidR="00EC29D0" w:rsidRPr="00FA3E7F" w14:paraId="1DCDC652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1300925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7FB468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0A015095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7A3DF56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FR-28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35FB6FE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track and manage historical maintenance work.</w:t>
            </w:r>
          </w:p>
        </w:tc>
      </w:tr>
      <w:tr w:rsidR="00EC29D0" w:rsidRPr="00FA3E7F" w14:paraId="5EE64B9A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6F7D1F2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2E21B9EC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6B7F5940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43EF4DFA" w14:textId="77777777" w:rsidR="00EC29D0" w:rsidRPr="00FA3E7F" w:rsidRDefault="00EC29D0" w:rsidP="003956D2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lastRenderedPageBreak/>
              <w:t>FR-29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4E8F5366" w14:textId="77777777" w:rsidR="00EC29D0" w:rsidRPr="00FA3E7F" w:rsidRDefault="00EC29D0" w:rsidP="003956D2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create maintenance work orders and forms for staff to complete. Checklists and forms should be configurable based on a business unit’s unique needs</w:t>
            </w:r>
          </w:p>
        </w:tc>
      </w:tr>
      <w:tr w:rsidR="00EC29D0" w:rsidRPr="00FA3E7F" w14:paraId="2942AE83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0F8FED5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F916E56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0D8306A5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7E2DA63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FR-30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384D6E08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populate maintenance work orders and forms using mobile applications (e.g., smartphone or tablet).</w:t>
            </w:r>
          </w:p>
        </w:tc>
      </w:tr>
      <w:tr w:rsidR="00EC29D0" w:rsidRPr="00FA3E7F" w14:paraId="56CECBF3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76A2A45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8873A27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1497D523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567304B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FR-31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587C4D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show the location of a maintenance work order (scheduled or historical) on an interactive mapping interface.</w:t>
            </w:r>
          </w:p>
        </w:tc>
      </w:tr>
      <w:tr w:rsidR="00EC29D0" w:rsidRPr="00FA3E7F" w14:paraId="08E75CD1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1FD84F7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486C96F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0E0DE40D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2EE0796C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FR-32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749EE04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classify maintenance work orders (e.g., preventative, emergency, warranty)</w:t>
            </w:r>
          </w:p>
        </w:tc>
      </w:tr>
      <w:tr w:rsidR="00EC29D0" w:rsidRPr="00FA3E7F" w14:paraId="142C8C5A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45F2704F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00CB5946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5F3D46B7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0C111BD6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FR-33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0765962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prioritize maintenance work orders based on a set of pre-determined and configurable criteria.</w:t>
            </w:r>
          </w:p>
        </w:tc>
      </w:tr>
      <w:tr w:rsidR="00EC29D0" w:rsidRPr="00FA3E7F" w14:paraId="14EBBC44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4CCED10E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3536DDE7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1F62C33A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32A22BE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FR-34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27B4DC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integrate with an Enterprise Resource Planning (ERP) system to manage works orders and track maintenance-related expenditures. Describe the types of integrations which the system is capable of.</w:t>
            </w:r>
          </w:p>
        </w:tc>
      </w:tr>
      <w:tr w:rsidR="00EC29D0" w:rsidRPr="00FA3E7F" w14:paraId="276371ED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2AE840F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2B10323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B42ACA" w14:paraId="4C9ED290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595959" w:themeFill="text1" w:themeFillTint="A6"/>
          </w:tcPr>
          <w:p w14:paraId="2D1653EF" w14:textId="77777777" w:rsidR="00EC29D0" w:rsidRPr="00B42ACA" w:rsidRDefault="00EC29D0" w:rsidP="003956D2">
            <w:pPr>
              <w:spacing w:before="40" w:after="4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Long-Term Forecasting</w:t>
            </w:r>
          </w:p>
        </w:tc>
      </w:tr>
      <w:tr w:rsidR="00EC29D0" w:rsidRPr="00FA3E7F" w14:paraId="57C5E65A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0400B6E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FR-35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2A74A40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generate long-term expenditures forecasts based on a pre-defined asset renewal strategies (e.g., run to failure).</w:t>
            </w:r>
          </w:p>
        </w:tc>
      </w:tr>
      <w:tr w:rsidR="00EC29D0" w:rsidRPr="00FA3E7F" w14:paraId="5BFAA3B3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5E22F8E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7EB40A43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1C89A448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3966F18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FR-36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3D4BB5C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create customized asset renewal strategies and apply them to assets based on their unique characteristics (e.g., material type).</w:t>
            </w:r>
          </w:p>
        </w:tc>
      </w:tr>
      <w:tr w:rsidR="00EC29D0" w:rsidRPr="00FA3E7F" w14:paraId="488B8280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677023D6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41BC61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443CC23F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2B1A450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FR-37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29D750A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forecast asset condition over an extended planning horizon.</w:t>
            </w:r>
          </w:p>
        </w:tc>
      </w:tr>
      <w:tr w:rsidR="00EC29D0" w:rsidRPr="00FA3E7F" w14:paraId="69E6AC2D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69F4C69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6E73C20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146409A5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51683874" w14:textId="77777777" w:rsidR="00EC29D0" w:rsidRPr="00FA3E7F" w:rsidRDefault="00EC29D0" w:rsidP="003956D2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lastRenderedPageBreak/>
              <w:t>FR-38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264A8884" w14:textId="77777777" w:rsidR="00EC29D0" w:rsidRPr="00FA3E7F" w:rsidRDefault="00EC29D0" w:rsidP="003956D2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create unique asset deterioration models for assets based on their unique characteristics (e.g., material type) and/or asset renewal strategy.</w:t>
            </w:r>
          </w:p>
        </w:tc>
      </w:tr>
      <w:tr w:rsidR="00EC29D0" w:rsidRPr="00FA3E7F" w14:paraId="73806428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5CD2C2A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C83487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57579433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595959" w:themeFill="text1" w:themeFillTint="A6"/>
          </w:tcPr>
          <w:p w14:paraId="1F8F4BB1" w14:textId="77777777" w:rsidR="00EC29D0" w:rsidRPr="00B42ACA" w:rsidRDefault="00EC29D0" w:rsidP="003956D2">
            <w:pPr>
              <w:spacing w:before="40" w:after="4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Warehouse &amp; Parts Management</w:t>
            </w:r>
          </w:p>
        </w:tc>
      </w:tr>
      <w:tr w:rsidR="00EC29D0" w:rsidRPr="00FA3E7F" w14:paraId="785DB9B2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55DD4CA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FR-39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25D1B01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track and manage a listing of spare parts in the warehouse</w:t>
            </w:r>
            <w:r>
              <w:rPr>
                <w:szCs w:val="20"/>
              </w:rPr>
              <w:t>/stockpile</w:t>
            </w:r>
            <w:r w:rsidRPr="00FA3E7F">
              <w:rPr>
                <w:szCs w:val="20"/>
              </w:rPr>
              <w:t>.</w:t>
            </w:r>
          </w:p>
        </w:tc>
      </w:tr>
      <w:tr w:rsidR="00EC29D0" w:rsidRPr="00FA3E7F" w14:paraId="10901C16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3EA9E337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67E911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2336A337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0392227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FR-40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8417BC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assign consumed spare parts to a maintenance work order.</w:t>
            </w:r>
          </w:p>
        </w:tc>
      </w:tr>
      <w:tr w:rsidR="00EC29D0" w:rsidRPr="00FA3E7F" w14:paraId="173AF655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02203C9E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29C21F64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79429F96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4C08CB6F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FR-41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08712FC7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maintain a list of suppliers including their contact information,</w:t>
            </w:r>
          </w:p>
        </w:tc>
      </w:tr>
      <w:tr w:rsidR="00EC29D0" w:rsidRPr="00FA3E7F" w14:paraId="0E5681C6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0BF1237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3CEA94A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B42ACA" w14:paraId="22C02813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595959" w:themeFill="text1" w:themeFillTint="A6"/>
          </w:tcPr>
          <w:p w14:paraId="27BD4300" w14:textId="77777777" w:rsidR="00EC29D0" w:rsidRPr="00B42ACA" w:rsidRDefault="00EC29D0" w:rsidP="003956D2">
            <w:pPr>
              <w:spacing w:before="40" w:after="4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Document Management</w:t>
            </w:r>
          </w:p>
        </w:tc>
      </w:tr>
      <w:tr w:rsidR="00EC29D0" w:rsidRPr="00FA3E7F" w14:paraId="7D6A8012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40CE28E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FR-42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40043B7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store and manage asset documentation (operational manuals, drawings) of varying file types (PDF, TIFF, DOC, XLSX, etc.).</w:t>
            </w:r>
          </w:p>
        </w:tc>
      </w:tr>
      <w:tr w:rsidR="00EC29D0" w:rsidRPr="00FA3E7F" w14:paraId="2B836AFD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79C0410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F8C7C24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098C610D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6BAC33B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FR-43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4847E797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assign documentation to individual assets.</w:t>
            </w:r>
          </w:p>
        </w:tc>
      </w:tr>
      <w:tr w:rsidR="00EC29D0" w:rsidRPr="00FA3E7F" w14:paraId="1298DB82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6973F75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20E52A6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0B9D0D0E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0D29CA2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FR-44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73C9E9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open and view asset documentation in the field using mobile applications.</w:t>
            </w:r>
          </w:p>
        </w:tc>
      </w:tr>
      <w:tr w:rsidR="00EC29D0" w:rsidRPr="00FA3E7F" w14:paraId="4AF8271D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230A91C7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678741E7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B42ACA" w14:paraId="2A116A69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595959" w:themeFill="text1" w:themeFillTint="A6"/>
          </w:tcPr>
          <w:p w14:paraId="2D016877" w14:textId="77777777" w:rsidR="00EC29D0" w:rsidRPr="00B42ACA" w:rsidRDefault="00EC29D0" w:rsidP="003956D2">
            <w:pPr>
              <w:spacing w:before="40" w:after="4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Performance Monitoring</w:t>
            </w:r>
          </w:p>
        </w:tc>
      </w:tr>
      <w:tr w:rsidR="00EC29D0" w:rsidRPr="00FA3E7F" w14:paraId="1BFFACB0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792BF51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FR-45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26656C7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track asset failures and/or performance issues (e.g., watermain break).</w:t>
            </w:r>
          </w:p>
        </w:tc>
      </w:tr>
      <w:tr w:rsidR="00EC29D0" w:rsidRPr="00FA3E7F" w14:paraId="6BED6EE6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3A90950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7B23D7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58870BFD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0EC457E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FR-46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1D6C22FD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assign asset failures and/or performance issues to individual assets.</w:t>
            </w:r>
          </w:p>
        </w:tc>
      </w:tr>
      <w:tr w:rsidR="00EC29D0" w:rsidRPr="00FA3E7F" w14:paraId="17A8904C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4FE3DF1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73F1A08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0A017549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38B4761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FR-47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7E226ECC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show the location of historical asset failures and/or performance issues on an interactive mapping interface.</w:t>
            </w:r>
          </w:p>
        </w:tc>
      </w:tr>
      <w:tr w:rsidR="00EC29D0" w:rsidRPr="00FA3E7F" w14:paraId="7D323B8C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74FD17A8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2C817354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B42ACA" w14:paraId="686C5C59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595959" w:themeFill="text1" w:themeFillTint="A6"/>
          </w:tcPr>
          <w:p w14:paraId="0B23687E" w14:textId="77777777" w:rsidR="00EC29D0" w:rsidRPr="00B42ACA" w:rsidRDefault="00EC29D0" w:rsidP="003956D2">
            <w:pPr>
              <w:keepNext/>
              <w:spacing w:before="40" w:after="4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lastRenderedPageBreak/>
              <w:t>Decision-Making Support</w:t>
            </w:r>
          </w:p>
        </w:tc>
      </w:tr>
      <w:tr w:rsidR="00EC29D0" w:rsidRPr="00FA3E7F" w14:paraId="3D514B6B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201FB37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FR-48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7B350D6F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make capital renewal recommendations based on condition, performance, risk, or lifecycle cost.</w:t>
            </w:r>
          </w:p>
        </w:tc>
      </w:tr>
      <w:tr w:rsidR="00EC29D0" w:rsidRPr="00FA3E7F" w14:paraId="177321CB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72C71784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5ADE266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0C70E7A1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36E4385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FR-49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6C5177E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prioritize and rank assets requiring repair or renewal based on a pre-determined set of criteria (e.g., risk).</w:t>
            </w:r>
          </w:p>
        </w:tc>
      </w:tr>
      <w:tr w:rsidR="00EC29D0" w:rsidRPr="00FA3E7F" w14:paraId="68CDF3B0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6272CCC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6925C39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B42ACA" w14:paraId="70D2633E" w14:textId="77777777" w:rsidTr="003956D2">
        <w:trPr>
          <w:cantSplit/>
          <w:trHeight w:val="20"/>
        </w:trPr>
        <w:tc>
          <w:tcPr>
            <w:tcW w:w="5000" w:type="pct"/>
            <w:gridSpan w:val="2"/>
            <w:shd w:val="clear" w:color="auto" w:fill="595959" w:themeFill="text1" w:themeFillTint="A6"/>
          </w:tcPr>
          <w:p w14:paraId="400A93BC" w14:textId="77777777" w:rsidR="00EC29D0" w:rsidRPr="00B42ACA" w:rsidRDefault="00EC29D0" w:rsidP="003956D2">
            <w:pPr>
              <w:spacing w:before="40" w:after="4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Reporting / Analytics</w:t>
            </w:r>
          </w:p>
        </w:tc>
      </w:tr>
      <w:tr w:rsidR="00EC29D0" w:rsidRPr="00FA3E7F" w14:paraId="54121A42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52363A7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FR-50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056D7AF1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for users to create custom/ad-hoc reports based on their business unit’s unique needs. Describe how the system supports this requirement.</w:t>
            </w:r>
          </w:p>
        </w:tc>
      </w:tr>
      <w:tr w:rsidR="00EC29D0" w:rsidRPr="00FA3E7F" w14:paraId="56C9BB03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55864458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AF8D32A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243551DC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14184A3E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FR-51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02E4F27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generate summary financial reports to prepare annual financial statements (e.g., total asset valuation, annual depreciation by department, etc.).</w:t>
            </w:r>
          </w:p>
        </w:tc>
      </w:tr>
      <w:tr w:rsidR="00EC29D0" w:rsidRPr="00FA3E7F" w14:paraId="75509BC4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2C922DF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7EFAC47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4BCBDEA4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30749C6D" w14:textId="77777777" w:rsidR="00EC29D0" w:rsidRPr="00FA3E7F" w:rsidRDefault="00EC29D0" w:rsidP="003956D2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FR-52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04A1BC92" w14:textId="77777777" w:rsidR="00EC29D0" w:rsidRPr="00FA3E7F" w:rsidRDefault="00EC29D0" w:rsidP="003956D2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generate summary report showing outstanding maintenance work orders.</w:t>
            </w:r>
          </w:p>
        </w:tc>
      </w:tr>
      <w:tr w:rsidR="00EC29D0" w:rsidRPr="00FA3E7F" w14:paraId="02E7E91D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67291CD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2F44F140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08B48848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15E6AE3E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FR-53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4DB7368C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Ability to generate state of infrastructure report</w:t>
            </w:r>
            <w:r>
              <w:rPr>
                <w:szCs w:val="20"/>
              </w:rPr>
              <w:t>s</w:t>
            </w:r>
            <w:r w:rsidRPr="00FA3E7F">
              <w:rPr>
                <w:szCs w:val="20"/>
              </w:rPr>
              <w:t xml:space="preserve">, summarizing the condition </w:t>
            </w:r>
            <w:r>
              <w:rPr>
                <w:szCs w:val="20"/>
              </w:rPr>
              <w:t xml:space="preserve">and infrastructure deficit </w:t>
            </w:r>
            <w:r w:rsidRPr="00FA3E7F">
              <w:rPr>
                <w:szCs w:val="20"/>
              </w:rPr>
              <w:t>of all assets.</w:t>
            </w:r>
          </w:p>
        </w:tc>
      </w:tr>
      <w:tr w:rsidR="00EC29D0" w:rsidRPr="00FA3E7F" w14:paraId="1EB28B7F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10DCE97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05F4E2EF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36455CF2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429E421B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FR-54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4C5ADDC6" w14:textId="77777777" w:rsidR="00EC29D0" w:rsidRDefault="00EC29D0" w:rsidP="003956D2">
            <w:pPr>
              <w:spacing w:before="40" w:after="40"/>
              <w:rPr>
                <w:szCs w:val="20"/>
              </w:rPr>
            </w:pPr>
            <w:r w:rsidRPr="00FA3E7F">
              <w:rPr>
                <w:szCs w:val="20"/>
              </w:rPr>
              <w:t xml:space="preserve">Solution should provide out-of-the-box reports and dashboards to track and manage information across the solution. Out-of-the-box reports can be modified and saved as new reports. </w:t>
            </w:r>
          </w:p>
          <w:p w14:paraId="54FAD835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Provide a listing of out-of-the box reports and dashboards that come with the solution with a brief description of each.</w:t>
            </w:r>
          </w:p>
        </w:tc>
      </w:tr>
      <w:tr w:rsidR="00EC29D0" w:rsidRPr="00FA3E7F" w14:paraId="60926106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1E0B74C7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388BA6FF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  <w:tr w:rsidR="00EC29D0" w:rsidRPr="00FA3E7F" w14:paraId="19890AE1" w14:textId="77777777" w:rsidTr="003956D2">
        <w:trPr>
          <w:cantSplit/>
          <w:trHeight w:val="20"/>
        </w:trPr>
        <w:tc>
          <w:tcPr>
            <w:tcW w:w="434" w:type="pct"/>
            <w:shd w:val="clear" w:color="auto" w:fill="F2F2F2" w:themeFill="background1" w:themeFillShade="F2"/>
          </w:tcPr>
          <w:p w14:paraId="6AA0FB98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FR-55</w:t>
            </w:r>
          </w:p>
        </w:tc>
        <w:tc>
          <w:tcPr>
            <w:tcW w:w="4566" w:type="pct"/>
            <w:shd w:val="clear" w:color="auto" w:fill="F2F2F2" w:themeFill="background1" w:themeFillShade="F2"/>
          </w:tcPr>
          <w:p w14:paraId="3CE0DCF2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Solution should support and manage report scheduling including securely distributing reports either online, to printer, fax, or email.</w:t>
            </w:r>
          </w:p>
        </w:tc>
      </w:tr>
      <w:tr w:rsidR="00EC29D0" w:rsidRPr="00FA3E7F" w14:paraId="2D04E76A" w14:textId="77777777" w:rsidTr="003956D2">
        <w:trPr>
          <w:cantSplit/>
          <w:trHeight w:val="20"/>
        </w:trPr>
        <w:tc>
          <w:tcPr>
            <w:tcW w:w="5000" w:type="pct"/>
            <w:gridSpan w:val="2"/>
          </w:tcPr>
          <w:p w14:paraId="397320D9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  <w:r w:rsidRPr="00FA3E7F">
              <w:rPr>
                <w:szCs w:val="20"/>
              </w:rPr>
              <w:t>Response:</w:t>
            </w:r>
          </w:p>
          <w:p w14:paraId="10BFE6C6" w14:textId="77777777" w:rsidR="00EC29D0" w:rsidRPr="00FA3E7F" w:rsidRDefault="00EC29D0" w:rsidP="003956D2">
            <w:pPr>
              <w:spacing w:before="40" w:after="40"/>
              <w:rPr>
                <w:b/>
                <w:bCs/>
                <w:szCs w:val="20"/>
              </w:rPr>
            </w:pPr>
          </w:p>
        </w:tc>
      </w:tr>
    </w:tbl>
    <w:p w14:paraId="5366FC81" w14:textId="77777777" w:rsidR="00505A9D" w:rsidRDefault="00505A9D"/>
    <w:sectPr w:rsidR="0050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B2D"/>
    <w:multiLevelType w:val="hybridMultilevel"/>
    <w:tmpl w:val="8B8C0682"/>
    <w:lvl w:ilvl="0" w:tplc="3E328AE6">
      <w:start w:val="1"/>
      <w:numFmt w:val="bullet"/>
      <w:pStyle w:val="Table-Bullets2"/>
      <w:lvlText w:val=""/>
      <w:lvlJc w:val="left"/>
      <w:pPr>
        <w:ind w:left="1080" w:hanging="360"/>
      </w:pPr>
      <w:rPr>
        <w:rFonts w:ascii="Symbol" w:hAnsi="Symbol" w:hint="default"/>
        <w:sz w:val="15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3573A"/>
    <w:multiLevelType w:val="multilevel"/>
    <w:tmpl w:val="0F7A38F4"/>
    <w:lvl w:ilvl="0">
      <w:start w:val="1"/>
      <w:numFmt w:val="decimal"/>
      <w:pStyle w:val="Heading1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0890672"/>
    <w:multiLevelType w:val="hybridMultilevel"/>
    <w:tmpl w:val="697C2938"/>
    <w:lvl w:ilvl="0" w:tplc="CC9ABAEA">
      <w:start w:val="1"/>
      <w:numFmt w:val="bullet"/>
      <w:pStyle w:val="Text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D0"/>
    <w:rsid w:val="001D62D1"/>
    <w:rsid w:val="00264A3C"/>
    <w:rsid w:val="003927D4"/>
    <w:rsid w:val="00505A9D"/>
    <w:rsid w:val="00691DE4"/>
    <w:rsid w:val="00832940"/>
    <w:rsid w:val="00EC29D0"/>
    <w:rsid w:val="00EF26FD"/>
    <w:rsid w:val="00F3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9826"/>
  <w15:chartTrackingRefBased/>
  <w15:docId w15:val="{F9FFD79B-036A-4761-B6B7-C9A4964F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D0"/>
    <w:pPr>
      <w:spacing w:after="120" w:line="264" w:lineRule="auto"/>
    </w:pPr>
    <w:rPr>
      <w:rFonts w:ascii="Calibri" w:eastAsia="Times New Roman" w:hAnsi="Calibri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2D1"/>
    <w:pPr>
      <w:keepNext/>
      <w:keepLines/>
      <w:numPr>
        <w:numId w:val="5"/>
      </w:numPr>
      <w:pBdr>
        <w:top w:val="single" w:sz="18" w:space="1" w:color="235BA8" w:themeColor="accent4"/>
        <w:left w:val="single" w:sz="18" w:space="4" w:color="235BA8" w:themeColor="accent4"/>
        <w:bottom w:val="single" w:sz="18" w:space="1" w:color="235BA8" w:themeColor="accent4"/>
        <w:right w:val="single" w:sz="18" w:space="4" w:color="235BA8" w:themeColor="accent4"/>
      </w:pBdr>
      <w:shd w:val="clear" w:color="auto" w:fill="235BA8" w:themeFill="accent4"/>
      <w:spacing w:before="360" w:after="300"/>
      <w:jc w:val="both"/>
      <w:outlineLvl w:val="0"/>
    </w:pPr>
    <w:rPr>
      <w:rFonts w:ascii="Arial" w:eastAsiaTheme="majorEastAsia" w:hAnsi="Arial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2D1"/>
    <w:pPr>
      <w:keepNext/>
      <w:numPr>
        <w:ilvl w:val="1"/>
        <w:numId w:val="5"/>
      </w:numPr>
      <w:spacing w:before="300" w:after="300"/>
      <w:jc w:val="both"/>
      <w:outlineLvl w:val="1"/>
    </w:pPr>
    <w:rPr>
      <w:rFonts w:ascii="Arial" w:eastAsiaTheme="majorEastAsia" w:hAnsi="Arial" w:cstheme="majorBidi"/>
      <w:b/>
      <w:bCs/>
      <w:color w:val="235BA8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2D1"/>
    <w:pPr>
      <w:keepNext/>
      <w:keepLines/>
      <w:numPr>
        <w:ilvl w:val="2"/>
        <w:numId w:val="5"/>
      </w:numPr>
      <w:spacing w:before="300" w:after="300"/>
      <w:jc w:val="both"/>
      <w:outlineLvl w:val="2"/>
    </w:pPr>
    <w:rPr>
      <w:rFonts w:ascii="Arial" w:eastAsiaTheme="majorEastAsia" w:hAnsi="Arial" w:cstheme="majorBidi"/>
      <w:b/>
      <w:bCs/>
      <w:color w:val="337D58" w:themeColor="accent3"/>
      <w:szCs w:val="22"/>
    </w:rPr>
  </w:style>
  <w:style w:type="paragraph" w:styleId="Heading4">
    <w:name w:val="heading 4"/>
    <w:next w:val="Normal"/>
    <w:link w:val="Heading4Char"/>
    <w:unhideWhenUsed/>
    <w:qFormat/>
    <w:rsid w:val="001D62D1"/>
    <w:pPr>
      <w:spacing w:before="240" w:after="240" w:line="240" w:lineRule="auto"/>
      <w:outlineLvl w:val="3"/>
    </w:pPr>
    <w:rPr>
      <w:rFonts w:ascii="Arial" w:eastAsiaTheme="majorEastAsia" w:hAnsi="Arial" w:cstheme="majorBidi"/>
      <w:b/>
      <w:bCs/>
      <w:sz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1D62D1"/>
    <w:pPr>
      <w:tabs>
        <w:tab w:val="num" w:pos="1368"/>
      </w:tabs>
      <w:spacing w:before="240" w:after="60" w:line="240" w:lineRule="auto"/>
      <w:ind w:left="1368" w:hanging="1008"/>
      <w:jc w:val="both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D62D1"/>
    <w:pPr>
      <w:tabs>
        <w:tab w:val="num" w:pos="1512"/>
      </w:tabs>
      <w:spacing w:before="240" w:after="60" w:line="240" w:lineRule="auto"/>
      <w:ind w:left="1512" w:hanging="1152"/>
      <w:jc w:val="both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D62D1"/>
    <w:pPr>
      <w:tabs>
        <w:tab w:val="num" w:pos="1656"/>
      </w:tabs>
      <w:spacing w:before="240" w:after="60" w:line="240" w:lineRule="auto"/>
      <w:ind w:left="1656" w:hanging="1296"/>
      <w:jc w:val="both"/>
      <w:outlineLvl w:val="6"/>
    </w:pPr>
    <w:rPr>
      <w:rFonts w:ascii="Times New Roman" w:hAnsi="Times New Roman"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1D62D1"/>
    <w:pPr>
      <w:tabs>
        <w:tab w:val="num" w:pos="1800"/>
      </w:tabs>
      <w:spacing w:before="240" w:after="60" w:line="240" w:lineRule="auto"/>
      <w:ind w:left="1800" w:hanging="1440"/>
      <w:jc w:val="both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1D62D1"/>
    <w:pPr>
      <w:tabs>
        <w:tab w:val="num" w:pos="1944"/>
      </w:tabs>
      <w:spacing w:before="240" w:after="60" w:line="240" w:lineRule="auto"/>
      <w:ind w:left="1944" w:hanging="1584"/>
      <w:jc w:val="both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-Header">
    <w:name w:val="TOC-Header"/>
    <w:basedOn w:val="Heading1"/>
    <w:qFormat/>
    <w:rsid w:val="001D62D1"/>
    <w:pPr>
      <w:numPr>
        <w:numId w:val="0"/>
      </w:numPr>
      <w:ind w:left="1440" w:hanging="1440"/>
    </w:pPr>
  </w:style>
  <w:style w:type="character" w:customStyle="1" w:styleId="Heading1Char">
    <w:name w:val="Heading 1 Char"/>
    <w:basedOn w:val="DefaultParagraphFont"/>
    <w:link w:val="Heading1"/>
    <w:uiPriority w:val="9"/>
    <w:rsid w:val="001D62D1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235BA8" w:themeFill="accent4"/>
      <w:lang w:val="en-CA"/>
    </w:rPr>
  </w:style>
  <w:style w:type="paragraph" w:customStyle="1" w:styleId="TOC-Headings">
    <w:name w:val="TOC-Headings"/>
    <w:qFormat/>
    <w:rsid w:val="001D62D1"/>
    <w:pPr>
      <w:spacing w:after="260" w:line="300" w:lineRule="exact"/>
    </w:pPr>
    <w:rPr>
      <w:rFonts w:ascii="Arial" w:hAnsi="Arial"/>
      <w:b/>
      <w:color w:val="1A447D" w:themeColor="accent4" w:themeShade="BF"/>
      <w:sz w:val="21"/>
      <w:lang w:val="en-CA"/>
    </w:rPr>
  </w:style>
  <w:style w:type="paragraph" w:customStyle="1" w:styleId="TextBoxTitle">
    <w:name w:val="Text Box Title"/>
    <w:basedOn w:val="Normal"/>
    <w:link w:val="TextBoxTitleChar"/>
    <w:qFormat/>
    <w:rsid w:val="001D62D1"/>
    <w:pPr>
      <w:spacing w:before="120"/>
      <w:jc w:val="both"/>
    </w:pPr>
    <w:rPr>
      <w:rFonts w:ascii="Arial" w:eastAsiaTheme="minorHAnsi" w:hAnsi="Arial" w:cs="Arial"/>
      <w:b/>
      <w:color w:val="FFFFFF" w:themeColor="background1"/>
      <w:szCs w:val="22"/>
      <w:lang w:val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extBoxTitleChar">
    <w:name w:val="Text Box Title Char"/>
    <w:basedOn w:val="DefaultParagraphFont"/>
    <w:link w:val="TextBoxTitle"/>
    <w:rsid w:val="001D62D1"/>
    <w:rPr>
      <w:rFonts w:ascii="Arial" w:hAnsi="Arial" w:cs="Arial"/>
      <w:b/>
      <w:color w:val="FFFFFF" w:themeColor="background1"/>
      <w14:textOutline w14:w="9525" w14:cap="rnd" w14:cmpd="sng" w14:algn="ctr">
        <w14:noFill/>
        <w14:prstDash w14:val="solid"/>
        <w14:bevel/>
      </w14:textOutline>
    </w:rPr>
  </w:style>
  <w:style w:type="paragraph" w:customStyle="1" w:styleId="TextBoxBullets">
    <w:name w:val="Text Box Bullets"/>
    <w:basedOn w:val="ListParagraph"/>
    <w:link w:val="TextBoxBulletsChar"/>
    <w:qFormat/>
    <w:rsid w:val="001D62D1"/>
    <w:pPr>
      <w:numPr>
        <w:numId w:val="6"/>
      </w:numPr>
      <w:spacing w:line="204" w:lineRule="auto"/>
    </w:pPr>
    <w:rPr>
      <w:rFonts w:cs="Times New Roman"/>
      <w:color w:val="FFFFFF" w:themeColor="background1"/>
      <w:sz w:val="18"/>
      <w14:textOutline w14:w="9525" w14:cap="rnd" w14:cmpd="sng" w14:algn="ctr">
        <w14:noFill/>
        <w14:prstDash w14:val="solid"/>
        <w14:bevel/>
      </w14:textOutline>
    </w:rPr>
  </w:style>
  <w:style w:type="character" w:customStyle="1" w:styleId="TextBoxBulletsChar">
    <w:name w:val="Text Box Bullets Char"/>
    <w:basedOn w:val="ListParagraphChar"/>
    <w:link w:val="TextBoxBullets"/>
    <w:rsid w:val="001D62D1"/>
    <w:rPr>
      <w:rFonts w:ascii="Arial" w:hAnsi="Arial" w:cs="Times New Roman"/>
      <w:color w:val="FFFFFF" w:themeColor="background1"/>
      <w:sz w:val="18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link w:val="ListParagraphChar"/>
    <w:uiPriority w:val="34"/>
    <w:qFormat/>
    <w:rsid w:val="001D62D1"/>
    <w:pPr>
      <w:spacing w:before="120"/>
      <w:ind w:left="720"/>
      <w:jc w:val="both"/>
    </w:pPr>
    <w:rPr>
      <w:rFonts w:ascii="Arial" w:eastAsiaTheme="minorHAnsi" w:hAnsi="Arial" w:cstheme="minorBidi"/>
      <w:szCs w:val="22"/>
      <w:lang w:val="en-US"/>
    </w:rPr>
  </w:style>
  <w:style w:type="paragraph" w:customStyle="1" w:styleId="Table-Bullets2">
    <w:name w:val="Table-Bullets2"/>
    <w:qFormat/>
    <w:rsid w:val="001D62D1"/>
    <w:pPr>
      <w:numPr>
        <w:numId w:val="7"/>
      </w:numPr>
      <w:spacing w:after="180" w:line="240" w:lineRule="auto"/>
    </w:pPr>
    <w:rPr>
      <w:rFonts w:ascii="Times New Roman" w:hAnsi="Times New Roman"/>
      <w:lang w:val="en-CA"/>
    </w:rPr>
  </w:style>
  <w:style w:type="paragraph" w:customStyle="1" w:styleId="SCIIBodyText">
    <w:name w:val="SCII Body Text"/>
    <w:basedOn w:val="Normal"/>
    <w:link w:val="SCIIBodyTextChar"/>
    <w:qFormat/>
    <w:rsid w:val="001D62D1"/>
    <w:pPr>
      <w:spacing w:before="120"/>
      <w:jc w:val="both"/>
    </w:pPr>
    <w:rPr>
      <w:rFonts w:asciiTheme="minorHAnsi" w:hAnsiTheme="minorHAnsi"/>
    </w:rPr>
  </w:style>
  <w:style w:type="character" w:customStyle="1" w:styleId="SCIIBodyTextChar">
    <w:name w:val="SCII Body Text Char"/>
    <w:basedOn w:val="DefaultParagraphFont"/>
    <w:link w:val="SCIIBodyText"/>
    <w:rsid w:val="001D62D1"/>
    <w:rPr>
      <w:rFonts w:eastAsia="Times New Roman" w:cs="Times New Roman"/>
      <w:szCs w:val="24"/>
      <w:lang w:val="en-CA"/>
    </w:rPr>
  </w:style>
  <w:style w:type="paragraph" w:customStyle="1" w:styleId="InformationTableHeader">
    <w:name w:val="Information Table Header"/>
    <w:basedOn w:val="Normal"/>
    <w:link w:val="InformationTableHeaderChar"/>
    <w:qFormat/>
    <w:rsid w:val="001D62D1"/>
    <w:pPr>
      <w:spacing w:before="60" w:after="60"/>
      <w:jc w:val="both"/>
    </w:pPr>
    <w:rPr>
      <w:rFonts w:ascii="Arial" w:eastAsiaTheme="minorHAnsi" w:hAnsi="Arial" w:cs="Arial"/>
      <w:b/>
      <w:color w:val="FFFFFF" w:themeColor="background1"/>
      <w:sz w:val="24"/>
      <w:szCs w:val="22"/>
    </w:rPr>
  </w:style>
  <w:style w:type="character" w:customStyle="1" w:styleId="InformationTableHeaderChar">
    <w:name w:val="Information Table Header Char"/>
    <w:basedOn w:val="DefaultParagraphFont"/>
    <w:link w:val="InformationTableHeader"/>
    <w:rsid w:val="001D62D1"/>
    <w:rPr>
      <w:rFonts w:ascii="Arial" w:hAnsi="Arial" w:cs="Arial"/>
      <w:b/>
      <w:color w:val="FFFFFF" w:themeColor="background1"/>
      <w:sz w:val="24"/>
      <w:lang w:val="en-CA"/>
    </w:rPr>
  </w:style>
  <w:style w:type="paragraph" w:customStyle="1" w:styleId="TableAccentText">
    <w:name w:val="Table Accent Text"/>
    <w:basedOn w:val="Normal"/>
    <w:qFormat/>
    <w:rsid w:val="001D62D1"/>
    <w:pPr>
      <w:spacing w:before="60" w:after="60" w:line="288" w:lineRule="auto"/>
      <w:jc w:val="both"/>
    </w:pPr>
    <w:rPr>
      <w:rFonts w:ascii="Arial" w:eastAsiaTheme="minorHAnsi" w:hAnsi="Arial" w:cstheme="minorBidi"/>
      <w:b/>
      <w:color w:val="839A99" w:themeColor="accent2" w:themeShade="BF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62D1"/>
    <w:rPr>
      <w:rFonts w:ascii="Arial" w:eastAsiaTheme="majorEastAsia" w:hAnsi="Arial" w:cstheme="majorBidi"/>
      <w:b/>
      <w:bCs/>
      <w:color w:val="235BA8" w:themeColor="accent4"/>
      <w:sz w:val="24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D62D1"/>
    <w:rPr>
      <w:rFonts w:ascii="Arial" w:eastAsiaTheme="majorEastAsia" w:hAnsi="Arial" w:cstheme="majorBidi"/>
      <w:b/>
      <w:bCs/>
      <w:color w:val="337D58" w:themeColor="accent3"/>
      <w:lang w:val="en-CA"/>
    </w:rPr>
  </w:style>
  <w:style w:type="character" w:customStyle="1" w:styleId="Heading4Char">
    <w:name w:val="Heading 4 Char"/>
    <w:basedOn w:val="DefaultParagraphFont"/>
    <w:link w:val="Heading4"/>
    <w:rsid w:val="001D62D1"/>
    <w:rPr>
      <w:rFonts w:ascii="Arial" w:eastAsiaTheme="majorEastAsia" w:hAnsi="Arial" w:cstheme="majorBidi"/>
      <w:b/>
      <w:bCs/>
      <w:sz w:val="20"/>
      <w:lang w:val="en-CA"/>
    </w:rPr>
  </w:style>
  <w:style w:type="character" w:customStyle="1" w:styleId="Heading5Char">
    <w:name w:val="Heading 5 Char"/>
    <w:basedOn w:val="DefaultParagraphFont"/>
    <w:link w:val="Heading5"/>
    <w:rsid w:val="001D62D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D62D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D62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D62D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D62D1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1D62D1"/>
    <w:pPr>
      <w:spacing w:before="120"/>
      <w:jc w:val="both"/>
    </w:pPr>
    <w:rPr>
      <w:rFonts w:ascii="Arial" w:eastAsiaTheme="minorHAnsi" w:hAnsi="Arial" w:cs="Arial"/>
      <w:b/>
      <w:iCs/>
      <w:sz w:val="20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1D62D1"/>
    <w:rPr>
      <w:b/>
      <w:bCs/>
      <w:color w:val="009E77" w:themeColor="accent1"/>
    </w:rPr>
  </w:style>
  <w:style w:type="paragraph" w:styleId="NoSpacing">
    <w:name w:val="No Spacing"/>
    <w:uiPriority w:val="1"/>
    <w:qFormat/>
    <w:rsid w:val="001D62D1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62D1"/>
    <w:rPr>
      <w:rFonts w:ascii="Arial" w:hAnsi="Arial"/>
    </w:rPr>
  </w:style>
  <w:style w:type="table" w:styleId="TableGrid">
    <w:name w:val="Table Grid"/>
    <w:basedOn w:val="TableNormal"/>
    <w:uiPriority w:val="39"/>
    <w:rsid w:val="00EC2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2">
    <w:name w:val="APPENDIX 2"/>
    <w:basedOn w:val="Heading2"/>
    <w:link w:val="APPENDIX2Char"/>
    <w:qFormat/>
    <w:rsid w:val="00EC29D0"/>
    <w:pPr>
      <w:widowControl w:val="0"/>
      <w:numPr>
        <w:ilvl w:val="0"/>
        <w:numId w:val="0"/>
      </w:numPr>
      <w:tabs>
        <w:tab w:val="left" w:pos="709"/>
      </w:tabs>
      <w:spacing w:before="240" w:after="120"/>
      <w:jc w:val="left"/>
    </w:pPr>
    <w:rPr>
      <w:rFonts w:ascii="Calibri" w:eastAsia="Times New Roman" w:hAnsi="Calibri" w:cs="Arial"/>
      <w:iCs/>
      <w:color w:val="auto"/>
      <w:szCs w:val="22"/>
      <w:lang w:val="en-US"/>
    </w:rPr>
  </w:style>
  <w:style w:type="character" w:customStyle="1" w:styleId="APPENDIX2Char">
    <w:name w:val="APPENDIX 2 Char"/>
    <w:basedOn w:val="DefaultParagraphFont"/>
    <w:link w:val="APPENDIX2"/>
    <w:rsid w:val="00EC29D0"/>
    <w:rPr>
      <w:rFonts w:ascii="Calibri" w:eastAsia="Times New Roman" w:hAnsi="Calibri" w:cs="Arial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678565"/>
      </a:dk2>
      <a:lt2>
        <a:srgbClr val="F3E564"/>
      </a:lt2>
      <a:accent1>
        <a:srgbClr val="009E77"/>
      </a:accent1>
      <a:accent2>
        <a:srgbClr val="B9C6C5"/>
      </a:accent2>
      <a:accent3>
        <a:srgbClr val="337D58"/>
      </a:accent3>
      <a:accent4>
        <a:srgbClr val="235BA8"/>
      </a:accent4>
      <a:accent5>
        <a:srgbClr val="BBBCBE"/>
      </a:accent5>
      <a:accent6>
        <a:srgbClr val="3B3B3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A27852D5A949837B081E4828B6E5" ma:contentTypeVersion="11" ma:contentTypeDescription="Create a new document." ma:contentTypeScope="" ma:versionID="d62e66735d0535dca94a8088665da822">
  <xsd:schema xmlns:xsd="http://www.w3.org/2001/XMLSchema" xmlns:xs="http://www.w3.org/2001/XMLSchema" xmlns:p="http://schemas.microsoft.com/office/2006/metadata/properties" xmlns:ns2="d4b9214a-7757-4da3-917d-f5af37a55a4e" xmlns:ns3="60037831-0767-4f64-83e6-8f3a4c1ad458" targetNamespace="http://schemas.microsoft.com/office/2006/metadata/properties" ma:root="true" ma:fieldsID="b53027840a4c3e1fd1356a1555fff761" ns2:_="" ns3:_="">
    <xsd:import namespace="d4b9214a-7757-4da3-917d-f5af37a55a4e"/>
    <xsd:import namespace="60037831-0767-4f64-83e6-8f3a4c1ad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9214a-7757-4da3-917d-f5af37a55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7831-0767-4f64-83e6-8f3a4c1a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E1D56-22C5-4BA7-8A23-D9D1D959DCF1}"/>
</file>

<file path=customXml/itemProps2.xml><?xml version="1.0" encoding="utf-8"?>
<ds:datastoreItem xmlns:ds="http://schemas.openxmlformats.org/officeDocument/2006/customXml" ds:itemID="{2087613D-B03E-49C4-9395-028B6B5D3CCD}"/>
</file>

<file path=customXml/itemProps3.xml><?xml version="1.0" encoding="utf-8"?>
<ds:datastoreItem xmlns:ds="http://schemas.openxmlformats.org/officeDocument/2006/customXml" ds:itemID="{B0A07AC9-54ED-471C-AC21-A71A2EE4D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Benson</dc:creator>
  <cp:keywords/>
  <dc:description/>
  <cp:lastModifiedBy>Michael Benson</cp:lastModifiedBy>
  <cp:revision>1</cp:revision>
  <dcterms:created xsi:type="dcterms:W3CDTF">2022-01-28T17:19:00Z</dcterms:created>
  <dcterms:modified xsi:type="dcterms:W3CDTF">2022-01-28T17:20:00Z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0x010100D7E6A27852D5A949837B081E4828B6E5</vt:lpwstr>
  </property>
</Properties>
</file>