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D043" w14:textId="77777777" w:rsidR="0075393E" w:rsidRDefault="0075393E" w:rsidP="0075393E">
      <w:pPr>
        <w:pStyle w:val="APPENDIX2"/>
        <w:jc w:val="center"/>
      </w:pPr>
      <w:bookmarkStart w:id="0" w:name="_Toc93404114"/>
      <w:r w:rsidRPr="00BE5904">
        <w:t xml:space="preserve">Appendix </w:t>
      </w:r>
      <w:r>
        <w:t>D</w:t>
      </w:r>
      <w:r w:rsidRPr="00BE5904">
        <w:t>.</w:t>
      </w:r>
      <w:r>
        <w:t>5</w:t>
      </w:r>
      <w:r w:rsidRPr="00BE5904">
        <w:t xml:space="preserve"> - </w:t>
      </w:r>
      <w:r>
        <w:t>Value Add</w:t>
      </w:r>
      <w:r w:rsidRPr="00BE5904">
        <w:t xml:space="preserve"> Form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8546"/>
      </w:tblGrid>
      <w:tr w:rsidR="0075393E" w:rsidRPr="00BE5904" w14:paraId="206D7C34" w14:textId="77777777" w:rsidTr="003956D2">
        <w:trPr>
          <w:cantSplit/>
          <w:trHeight w:val="20"/>
          <w:tblHeader/>
        </w:trPr>
        <w:tc>
          <w:tcPr>
            <w:tcW w:w="430" w:type="pct"/>
            <w:shd w:val="clear" w:color="auto" w:fill="C00000"/>
            <w:vAlign w:val="center"/>
          </w:tcPr>
          <w:p w14:paraId="7E7265A4" w14:textId="77777777" w:rsidR="0075393E" w:rsidRPr="00BE5904" w:rsidRDefault="0075393E" w:rsidP="003956D2">
            <w:pPr>
              <w:keepLines/>
              <w:spacing w:before="40" w:after="40"/>
              <w:jc w:val="center"/>
              <w:rPr>
                <w:b/>
                <w:bCs/>
                <w:szCs w:val="20"/>
              </w:rPr>
            </w:pPr>
            <w:r w:rsidRPr="00BE5904">
              <w:rPr>
                <w:b/>
                <w:bCs/>
                <w:szCs w:val="20"/>
              </w:rPr>
              <w:t>ID</w:t>
            </w:r>
          </w:p>
        </w:tc>
        <w:tc>
          <w:tcPr>
            <w:tcW w:w="4570" w:type="pct"/>
            <w:shd w:val="clear" w:color="auto" w:fill="C00000"/>
          </w:tcPr>
          <w:p w14:paraId="05B2337A" w14:textId="77777777" w:rsidR="0075393E" w:rsidRPr="00BE5904" w:rsidRDefault="0075393E" w:rsidP="003956D2">
            <w:pPr>
              <w:keepLines/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Value Add</w:t>
            </w:r>
          </w:p>
        </w:tc>
      </w:tr>
      <w:tr w:rsidR="0075393E" w:rsidRPr="00BE5904" w14:paraId="45852AEA" w14:textId="77777777" w:rsidTr="003956D2">
        <w:trPr>
          <w:cantSplit/>
          <w:trHeight w:val="20"/>
        </w:trPr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2342A92A" w14:textId="77777777" w:rsidR="0075393E" w:rsidRPr="00BE5904" w:rsidRDefault="0075393E" w:rsidP="003956D2">
            <w:pPr>
              <w:keepLines/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>VA</w:t>
            </w:r>
            <w:r w:rsidRPr="00BE5904">
              <w:rPr>
                <w:szCs w:val="20"/>
              </w:rPr>
              <w:t>-1</w:t>
            </w:r>
          </w:p>
        </w:tc>
        <w:tc>
          <w:tcPr>
            <w:tcW w:w="4570" w:type="pct"/>
            <w:shd w:val="clear" w:color="auto" w:fill="F2F2F2" w:themeFill="background1" w:themeFillShade="F2"/>
          </w:tcPr>
          <w:p w14:paraId="4F6074AB" w14:textId="77777777" w:rsidR="0075393E" w:rsidRPr="007D6FA7" w:rsidRDefault="0075393E" w:rsidP="003956D2">
            <w:pPr>
              <w:keepLines/>
              <w:spacing w:before="40" w:after="40"/>
              <w:rPr>
                <w:szCs w:val="20"/>
              </w:rPr>
            </w:pPr>
            <w:r w:rsidRPr="007D6FA7">
              <w:rPr>
                <w:szCs w:val="20"/>
              </w:rPr>
              <w:t>The Value-Add section identifies any additional benefits beyond the inherent worth of the requested goods or services offered by the Proponent that may help the City reach its</w:t>
            </w:r>
            <w:r>
              <w:rPr>
                <w:szCs w:val="20"/>
              </w:rPr>
              <w:t xml:space="preserve"> goals</w:t>
            </w:r>
            <w:r w:rsidRPr="007D6FA7">
              <w:rPr>
                <w:szCs w:val="20"/>
              </w:rPr>
              <w:t xml:space="preserve">. Value Add cannot affect the price but can enhance the overall value of the proposal. The City will not entertain proposals where pricing is elevated to increase the value-added benefits. Any value-added benefit proposed as part of this proposal will be used at the discretion of the City. </w:t>
            </w:r>
          </w:p>
          <w:p w14:paraId="426897BE" w14:textId="77777777" w:rsidR="0075393E" w:rsidRDefault="0075393E" w:rsidP="003956D2">
            <w:pPr>
              <w:keepLines/>
              <w:spacing w:before="40" w:after="40"/>
              <w:rPr>
                <w:szCs w:val="20"/>
              </w:rPr>
            </w:pPr>
            <w:r w:rsidRPr="007D6FA7">
              <w:rPr>
                <w:szCs w:val="20"/>
              </w:rPr>
              <w:t xml:space="preserve">Value Add proposals that help the City achieve the Council priorities of </w:t>
            </w:r>
            <w:r w:rsidRPr="007D6FA7">
              <w:rPr>
                <w:b/>
                <w:bCs/>
                <w:szCs w:val="20"/>
              </w:rPr>
              <w:t>Grow, Green, Belong, Move and Perform</w:t>
            </w:r>
            <w:r w:rsidRPr="007D6FA7">
              <w:rPr>
                <w:szCs w:val="20"/>
              </w:rPr>
              <w:t xml:space="preserve"> may be scored higher. </w:t>
            </w:r>
          </w:p>
          <w:p w14:paraId="419222C6" w14:textId="77777777" w:rsidR="0075393E" w:rsidRDefault="0075393E" w:rsidP="003956D2">
            <w:pPr>
              <w:keepLines/>
              <w:spacing w:before="40" w:after="40"/>
              <w:rPr>
                <w:szCs w:val="20"/>
              </w:rPr>
            </w:pPr>
          </w:p>
          <w:p w14:paraId="1E4CDC19" w14:textId="77777777" w:rsidR="0075393E" w:rsidRPr="004123B2" w:rsidRDefault="0075393E" w:rsidP="003956D2">
            <w:pPr>
              <w:keepLines/>
              <w:spacing w:before="4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23B2">
              <w:rPr>
                <w:i/>
                <w:iCs/>
                <w:sz w:val="22"/>
                <w:szCs w:val="22"/>
              </w:rPr>
              <w:t>Council’s strategic priorities:</w:t>
            </w:r>
          </w:p>
          <w:p w14:paraId="05A48094" w14:textId="77777777" w:rsidR="0075393E" w:rsidRPr="004123B2" w:rsidRDefault="0075393E" w:rsidP="003956D2">
            <w:pPr>
              <w:keepLines/>
              <w:spacing w:before="40"/>
              <w:rPr>
                <w:i/>
                <w:iCs/>
                <w:sz w:val="22"/>
                <w:szCs w:val="22"/>
              </w:rPr>
            </w:pPr>
            <w:r w:rsidRPr="004123B2">
              <w:rPr>
                <w:b/>
                <w:bCs/>
                <w:i/>
                <w:iCs/>
                <w:sz w:val="22"/>
                <w:szCs w:val="22"/>
              </w:rPr>
              <w:t>Grow</w:t>
            </w:r>
            <w:r w:rsidRPr="004123B2">
              <w:rPr>
                <w:i/>
                <w:iCs/>
                <w:sz w:val="22"/>
                <w:szCs w:val="22"/>
              </w:rPr>
              <w:t xml:space="preserve"> - We enable population and business growth by focusing on key infrastructure investments, strategic communications, service delivery, and partnerships to achieve growth initiatives that align with the principles of smart in </w:t>
            </w:r>
            <w:proofErr w:type="spellStart"/>
            <w:r w:rsidRPr="004123B2">
              <w:rPr>
                <w:i/>
                <w:iCs/>
                <w:sz w:val="22"/>
                <w:szCs w:val="22"/>
              </w:rPr>
              <w:t>PlanSJ</w:t>
            </w:r>
            <w:proofErr w:type="spellEnd"/>
            <w:r w:rsidRPr="004123B2">
              <w:rPr>
                <w:i/>
                <w:iCs/>
                <w:sz w:val="22"/>
                <w:szCs w:val="22"/>
              </w:rPr>
              <w:t>.</w:t>
            </w:r>
          </w:p>
          <w:p w14:paraId="12E56AE9" w14:textId="77777777" w:rsidR="0075393E" w:rsidRPr="004123B2" w:rsidRDefault="0075393E" w:rsidP="003956D2">
            <w:pPr>
              <w:keepLines/>
              <w:spacing w:before="40"/>
              <w:rPr>
                <w:i/>
                <w:iCs/>
                <w:sz w:val="22"/>
                <w:szCs w:val="22"/>
              </w:rPr>
            </w:pPr>
            <w:r w:rsidRPr="004123B2">
              <w:rPr>
                <w:b/>
                <w:bCs/>
                <w:i/>
                <w:iCs/>
                <w:sz w:val="22"/>
                <w:szCs w:val="22"/>
              </w:rPr>
              <w:t>Green</w:t>
            </w:r>
            <w:r w:rsidRPr="004123B2">
              <w:rPr>
                <w:i/>
                <w:iCs/>
                <w:sz w:val="22"/>
                <w:szCs w:val="22"/>
              </w:rPr>
              <w:t xml:space="preserve"> - We encourage sustainable growth by continuing green practices and investing in climate adaptation initiatives with the implementation of the City of Saint John Corporate and Community GHG and Energy Action Plans.</w:t>
            </w:r>
          </w:p>
          <w:p w14:paraId="06432884" w14:textId="77777777" w:rsidR="0075393E" w:rsidRPr="004123B2" w:rsidRDefault="0075393E" w:rsidP="003956D2">
            <w:pPr>
              <w:keepLines/>
              <w:spacing w:before="40"/>
              <w:rPr>
                <w:i/>
                <w:iCs/>
                <w:sz w:val="22"/>
                <w:szCs w:val="22"/>
              </w:rPr>
            </w:pPr>
            <w:r w:rsidRPr="004123B2">
              <w:rPr>
                <w:b/>
                <w:bCs/>
                <w:i/>
                <w:iCs/>
                <w:sz w:val="22"/>
                <w:szCs w:val="22"/>
              </w:rPr>
              <w:t>Belong</w:t>
            </w:r>
            <w:r w:rsidRPr="004123B2">
              <w:rPr>
                <w:i/>
                <w:iCs/>
                <w:sz w:val="22"/>
                <w:szCs w:val="22"/>
              </w:rPr>
              <w:t xml:space="preserve"> - We enhance the quality of life and social well being in a safe place to </w:t>
            </w:r>
            <w:proofErr w:type="gramStart"/>
            <w:r w:rsidRPr="004123B2">
              <w:rPr>
                <w:i/>
                <w:iCs/>
                <w:sz w:val="22"/>
                <w:szCs w:val="22"/>
              </w:rPr>
              <w:t>live ;</w:t>
            </w:r>
            <w:proofErr w:type="gramEnd"/>
            <w:r w:rsidRPr="004123B2">
              <w:rPr>
                <w:i/>
                <w:iCs/>
                <w:sz w:val="22"/>
                <w:szCs w:val="22"/>
              </w:rPr>
              <w:t xml:space="preserve"> offering recreation, arts, and cultural opportunities that align with </w:t>
            </w:r>
            <w:proofErr w:type="spellStart"/>
            <w:r w:rsidRPr="004123B2">
              <w:rPr>
                <w:i/>
                <w:iCs/>
                <w:sz w:val="22"/>
                <w:szCs w:val="22"/>
              </w:rPr>
              <w:t>PlanSJ</w:t>
            </w:r>
            <w:proofErr w:type="spellEnd"/>
            <w:r w:rsidRPr="004123B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123B2">
              <w:rPr>
                <w:i/>
                <w:iCs/>
                <w:sz w:val="22"/>
                <w:szCs w:val="22"/>
              </w:rPr>
              <w:t>PlaySJ</w:t>
            </w:r>
            <w:proofErr w:type="spellEnd"/>
            <w:r w:rsidRPr="004123B2">
              <w:rPr>
                <w:i/>
                <w:iCs/>
                <w:sz w:val="22"/>
                <w:szCs w:val="22"/>
              </w:rPr>
              <w:t xml:space="preserve"> and other related plans.</w:t>
            </w:r>
          </w:p>
          <w:p w14:paraId="59760873" w14:textId="77777777" w:rsidR="0075393E" w:rsidRPr="004123B2" w:rsidRDefault="0075393E" w:rsidP="003956D2">
            <w:pPr>
              <w:keepLines/>
              <w:spacing w:before="40"/>
              <w:rPr>
                <w:i/>
                <w:iCs/>
                <w:sz w:val="22"/>
                <w:szCs w:val="22"/>
              </w:rPr>
            </w:pPr>
            <w:r w:rsidRPr="004123B2">
              <w:rPr>
                <w:b/>
                <w:bCs/>
                <w:i/>
                <w:iCs/>
                <w:sz w:val="22"/>
                <w:szCs w:val="22"/>
              </w:rPr>
              <w:t>Move</w:t>
            </w:r>
            <w:r w:rsidRPr="004123B2">
              <w:rPr>
                <w:i/>
                <w:iCs/>
                <w:sz w:val="22"/>
                <w:szCs w:val="22"/>
              </w:rPr>
              <w:t xml:space="preserve"> - We offer safe, accessible travel options for the movement of people and goods through trails, pathways, sidewalks, and roads that align with </w:t>
            </w:r>
            <w:proofErr w:type="spellStart"/>
            <w:r w:rsidRPr="004123B2">
              <w:rPr>
                <w:i/>
                <w:iCs/>
                <w:sz w:val="22"/>
                <w:szCs w:val="22"/>
              </w:rPr>
              <w:t>MoveSJ</w:t>
            </w:r>
            <w:proofErr w:type="spellEnd"/>
            <w:r w:rsidRPr="004123B2">
              <w:rPr>
                <w:i/>
                <w:iCs/>
                <w:sz w:val="22"/>
                <w:szCs w:val="22"/>
              </w:rPr>
              <w:t xml:space="preserve"> and related plans.</w:t>
            </w:r>
          </w:p>
          <w:p w14:paraId="202EFBF8" w14:textId="77777777" w:rsidR="0075393E" w:rsidRPr="00A07DB2" w:rsidRDefault="0075393E" w:rsidP="003956D2">
            <w:pPr>
              <w:keepLines/>
              <w:spacing w:before="40" w:after="40"/>
              <w:rPr>
                <w:szCs w:val="20"/>
              </w:rPr>
            </w:pPr>
            <w:r w:rsidRPr="004123B2">
              <w:rPr>
                <w:rFonts w:cstheme="minorHAnsi"/>
                <w:b/>
                <w:bCs/>
                <w:i/>
                <w:iCs/>
                <w:sz w:val="22"/>
                <w:szCs w:val="22"/>
                <w:lang w:eastAsia="en-CA"/>
              </w:rPr>
              <w:t>Perform</w:t>
            </w:r>
            <w:r w:rsidRPr="004123B2">
              <w:rPr>
                <w:rFonts w:cstheme="minorHAnsi"/>
                <w:i/>
                <w:iCs/>
                <w:sz w:val="22"/>
                <w:szCs w:val="22"/>
                <w:lang w:eastAsia="en-CA"/>
              </w:rPr>
              <w:t xml:space="preserve"> - We ensure the City is accountable for results in delivering public service by adhering to its plans, policies, procedures, and best practices.</w:t>
            </w:r>
          </w:p>
        </w:tc>
      </w:tr>
      <w:tr w:rsidR="0075393E" w:rsidRPr="00BE5904" w14:paraId="0FA96C93" w14:textId="77777777" w:rsidTr="003956D2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14:paraId="20CC3A56" w14:textId="77777777" w:rsidR="0075393E" w:rsidRPr="00BE5904" w:rsidRDefault="0075393E" w:rsidP="003956D2">
            <w:pPr>
              <w:keepLines/>
              <w:spacing w:before="40" w:after="40"/>
              <w:rPr>
                <w:szCs w:val="20"/>
              </w:rPr>
            </w:pPr>
            <w:r w:rsidRPr="00BE5904">
              <w:rPr>
                <w:szCs w:val="20"/>
              </w:rPr>
              <w:t>Response:</w:t>
            </w:r>
          </w:p>
          <w:p w14:paraId="55E6BB39" w14:textId="77777777" w:rsidR="0075393E" w:rsidRPr="00BE5904" w:rsidRDefault="0075393E" w:rsidP="003956D2">
            <w:pPr>
              <w:keepLines/>
              <w:spacing w:before="40" w:after="40"/>
              <w:rPr>
                <w:szCs w:val="20"/>
              </w:rPr>
            </w:pPr>
          </w:p>
        </w:tc>
      </w:tr>
    </w:tbl>
    <w:p w14:paraId="71B70855" w14:textId="77777777" w:rsidR="0075393E" w:rsidRDefault="0075393E" w:rsidP="0075393E"/>
    <w:p w14:paraId="39510C1C" w14:textId="77777777" w:rsidR="00505A9D" w:rsidRDefault="00505A9D"/>
    <w:sectPr w:rsidR="0050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2D"/>
    <w:multiLevelType w:val="hybridMultilevel"/>
    <w:tmpl w:val="8B8C0682"/>
    <w:lvl w:ilvl="0" w:tplc="3E328AE6">
      <w:start w:val="1"/>
      <w:numFmt w:val="bullet"/>
      <w:pStyle w:val="Table-Bullets2"/>
      <w:lvlText w:val=""/>
      <w:lvlJc w:val="left"/>
      <w:pPr>
        <w:ind w:left="1080" w:hanging="360"/>
      </w:pPr>
      <w:rPr>
        <w:rFonts w:ascii="Symbol" w:hAnsi="Symbol" w:hint="default"/>
        <w:sz w:val="15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573A"/>
    <w:multiLevelType w:val="multilevel"/>
    <w:tmpl w:val="0F7A38F4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90672"/>
    <w:multiLevelType w:val="hybridMultilevel"/>
    <w:tmpl w:val="697C2938"/>
    <w:lvl w:ilvl="0" w:tplc="CC9ABAEA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3E"/>
    <w:rsid w:val="001D62D1"/>
    <w:rsid w:val="00264A3C"/>
    <w:rsid w:val="003927D4"/>
    <w:rsid w:val="00505A9D"/>
    <w:rsid w:val="00691DE4"/>
    <w:rsid w:val="0075393E"/>
    <w:rsid w:val="00832940"/>
    <w:rsid w:val="00EF26FD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8924"/>
  <w15:chartTrackingRefBased/>
  <w15:docId w15:val="{8C088D79-2F9B-4F59-B05B-565A701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3E"/>
    <w:pPr>
      <w:spacing w:after="120" w:line="264" w:lineRule="auto"/>
    </w:pPr>
    <w:rPr>
      <w:rFonts w:ascii="Calibri" w:eastAsia="Times New Roman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1"/>
    <w:pPr>
      <w:keepNext/>
      <w:keepLines/>
      <w:numPr>
        <w:numId w:val="5"/>
      </w:numPr>
      <w:pBdr>
        <w:top w:val="single" w:sz="18" w:space="1" w:color="235BA8" w:themeColor="accent4"/>
        <w:left w:val="single" w:sz="18" w:space="4" w:color="235BA8" w:themeColor="accent4"/>
        <w:bottom w:val="single" w:sz="18" w:space="1" w:color="235BA8" w:themeColor="accent4"/>
        <w:right w:val="single" w:sz="18" w:space="4" w:color="235BA8" w:themeColor="accent4"/>
      </w:pBdr>
      <w:shd w:val="clear" w:color="auto" w:fill="235BA8" w:themeFill="accent4"/>
      <w:spacing w:before="360" w:after="300"/>
      <w:jc w:val="both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D1"/>
    <w:pPr>
      <w:keepNext/>
      <w:numPr>
        <w:ilvl w:val="1"/>
        <w:numId w:val="5"/>
      </w:numPr>
      <w:spacing w:before="300" w:after="300"/>
      <w:jc w:val="both"/>
      <w:outlineLvl w:val="1"/>
    </w:pPr>
    <w:rPr>
      <w:rFonts w:ascii="Arial" w:eastAsiaTheme="majorEastAsia" w:hAnsi="Arial" w:cstheme="majorBidi"/>
      <w:b/>
      <w:bCs/>
      <w:color w:val="235BA8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2D1"/>
    <w:pPr>
      <w:keepNext/>
      <w:keepLines/>
      <w:numPr>
        <w:ilvl w:val="2"/>
        <w:numId w:val="5"/>
      </w:numPr>
      <w:spacing w:before="300" w:after="300"/>
      <w:jc w:val="both"/>
      <w:outlineLvl w:val="2"/>
    </w:pPr>
    <w:rPr>
      <w:rFonts w:ascii="Arial" w:eastAsiaTheme="majorEastAsia" w:hAnsi="Arial" w:cstheme="majorBidi"/>
      <w:b/>
      <w:bCs/>
      <w:color w:val="337D58" w:themeColor="accent3"/>
      <w:szCs w:val="22"/>
    </w:rPr>
  </w:style>
  <w:style w:type="paragraph" w:styleId="Heading4">
    <w:name w:val="heading 4"/>
    <w:next w:val="Normal"/>
    <w:link w:val="Heading4Char"/>
    <w:unhideWhenUsed/>
    <w:qFormat/>
    <w:rsid w:val="001D62D1"/>
    <w:pPr>
      <w:spacing w:before="240" w:after="240" w:line="240" w:lineRule="auto"/>
      <w:outlineLvl w:val="3"/>
    </w:pPr>
    <w:rPr>
      <w:rFonts w:ascii="Arial" w:eastAsiaTheme="majorEastAsia" w:hAnsi="Arial" w:cstheme="majorBidi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D62D1"/>
    <w:pPr>
      <w:tabs>
        <w:tab w:val="num" w:pos="1368"/>
      </w:tabs>
      <w:spacing w:before="240" w:after="60" w:line="240" w:lineRule="auto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62D1"/>
    <w:pPr>
      <w:tabs>
        <w:tab w:val="num" w:pos="1512"/>
      </w:tabs>
      <w:spacing w:before="240" w:after="60" w:line="240" w:lineRule="auto"/>
      <w:ind w:left="1512" w:hanging="1152"/>
      <w:jc w:val="both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62D1"/>
    <w:pPr>
      <w:tabs>
        <w:tab w:val="num" w:pos="1656"/>
      </w:tabs>
      <w:spacing w:before="240" w:after="60" w:line="240" w:lineRule="auto"/>
      <w:ind w:left="1656" w:hanging="1296"/>
      <w:jc w:val="both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62D1"/>
    <w:pPr>
      <w:tabs>
        <w:tab w:val="num" w:pos="1800"/>
      </w:tabs>
      <w:spacing w:before="240" w:after="60" w:line="240" w:lineRule="auto"/>
      <w:ind w:left="1800" w:hanging="1440"/>
      <w:jc w:val="both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62D1"/>
    <w:pPr>
      <w:tabs>
        <w:tab w:val="num" w:pos="1944"/>
      </w:tabs>
      <w:spacing w:before="240" w:after="60" w:line="240" w:lineRule="auto"/>
      <w:ind w:left="1944" w:hanging="1584"/>
      <w:jc w:val="both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Header">
    <w:name w:val="TOC-Header"/>
    <w:basedOn w:val="Heading1"/>
    <w:qFormat/>
    <w:rsid w:val="001D62D1"/>
    <w:pPr>
      <w:numPr>
        <w:numId w:val="0"/>
      </w:numPr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"/>
    <w:rsid w:val="001D62D1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235BA8" w:themeFill="accent4"/>
      <w:lang w:val="en-CA"/>
    </w:rPr>
  </w:style>
  <w:style w:type="paragraph" w:customStyle="1" w:styleId="TOC-Headings">
    <w:name w:val="TOC-Headings"/>
    <w:qFormat/>
    <w:rsid w:val="001D62D1"/>
    <w:pPr>
      <w:spacing w:after="260" w:line="300" w:lineRule="exact"/>
    </w:pPr>
    <w:rPr>
      <w:rFonts w:ascii="Arial" w:hAnsi="Arial"/>
      <w:b/>
      <w:color w:val="1A447D" w:themeColor="accent4" w:themeShade="BF"/>
      <w:sz w:val="21"/>
      <w:lang w:val="en-CA"/>
    </w:rPr>
  </w:style>
  <w:style w:type="paragraph" w:customStyle="1" w:styleId="TextBoxTitle">
    <w:name w:val="Text Box Title"/>
    <w:basedOn w:val="Normal"/>
    <w:link w:val="TextBoxTitleChar"/>
    <w:qFormat/>
    <w:rsid w:val="001D62D1"/>
    <w:pPr>
      <w:spacing w:before="120"/>
      <w:jc w:val="both"/>
    </w:pPr>
    <w:rPr>
      <w:rFonts w:ascii="Arial" w:eastAsiaTheme="minorHAnsi" w:hAnsi="Arial" w:cs="Arial"/>
      <w:b/>
      <w:color w:val="FFFFFF" w:themeColor="background1"/>
      <w:szCs w:val="2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TitleChar">
    <w:name w:val="Text Box Title Char"/>
    <w:basedOn w:val="DefaultParagraphFont"/>
    <w:link w:val="TextBoxTitle"/>
    <w:rsid w:val="001D62D1"/>
    <w:rPr>
      <w:rFonts w:ascii="Arial" w:hAnsi="Arial" w:cs="Arial"/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BoxBullets">
    <w:name w:val="Text Box Bullets"/>
    <w:basedOn w:val="ListParagraph"/>
    <w:link w:val="TextBoxBulletsChar"/>
    <w:qFormat/>
    <w:rsid w:val="001D62D1"/>
    <w:pPr>
      <w:numPr>
        <w:numId w:val="6"/>
      </w:numPr>
      <w:spacing w:line="204" w:lineRule="auto"/>
    </w:pPr>
    <w:rPr>
      <w:rFonts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BulletsChar">
    <w:name w:val="Text Box Bullets Char"/>
    <w:basedOn w:val="ListParagraphChar"/>
    <w:link w:val="TextBoxBullets"/>
    <w:rsid w:val="001D62D1"/>
    <w:rPr>
      <w:rFonts w:ascii="Arial" w:hAnsi="Arial"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link w:val="ListParagraphChar"/>
    <w:uiPriority w:val="34"/>
    <w:qFormat/>
    <w:rsid w:val="001D62D1"/>
    <w:pPr>
      <w:spacing w:before="120"/>
      <w:ind w:left="720"/>
      <w:jc w:val="both"/>
    </w:pPr>
    <w:rPr>
      <w:rFonts w:ascii="Arial" w:eastAsiaTheme="minorHAnsi" w:hAnsi="Arial" w:cstheme="minorBidi"/>
      <w:szCs w:val="22"/>
      <w:lang w:val="en-US"/>
    </w:rPr>
  </w:style>
  <w:style w:type="paragraph" w:customStyle="1" w:styleId="Table-Bullets2">
    <w:name w:val="Table-Bullets2"/>
    <w:qFormat/>
    <w:rsid w:val="001D62D1"/>
    <w:pPr>
      <w:numPr>
        <w:numId w:val="7"/>
      </w:numPr>
      <w:spacing w:after="180" w:line="240" w:lineRule="auto"/>
    </w:pPr>
    <w:rPr>
      <w:rFonts w:ascii="Times New Roman" w:hAnsi="Times New Roman"/>
      <w:lang w:val="en-CA"/>
    </w:rPr>
  </w:style>
  <w:style w:type="paragraph" w:customStyle="1" w:styleId="SCIIBodyText">
    <w:name w:val="SCII Body Text"/>
    <w:basedOn w:val="Normal"/>
    <w:link w:val="SCIIBodyTextChar"/>
    <w:qFormat/>
    <w:rsid w:val="001D62D1"/>
    <w:pPr>
      <w:spacing w:before="120"/>
      <w:jc w:val="both"/>
    </w:pPr>
    <w:rPr>
      <w:rFonts w:asciiTheme="minorHAnsi" w:hAnsiTheme="minorHAnsi"/>
    </w:rPr>
  </w:style>
  <w:style w:type="character" w:customStyle="1" w:styleId="SCIIBodyTextChar">
    <w:name w:val="SCII Body Text Char"/>
    <w:basedOn w:val="DefaultParagraphFont"/>
    <w:link w:val="SCIIBodyText"/>
    <w:rsid w:val="001D62D1"/>
    <w:rPr>
      <w:rFonts w:eastAsia="Times New Roman" w:cs="Times New Roman"/>
      <w:szCs w:val="24"/>
      <w:lang w:val="en-CA"/>
    </w:rPr>
  </w:style>
  <w:style w:type="paragraph" w:customStyle="1" w:styleId="InformationTableHeader">
    <w:name w:val="Information Table Header"/>
    <w:basedOn w:val="Normal"/>
    <w:link w:val="InformationTableHeaderChar"/>
    <w:qFormat/>
    <w:rsid w:val="001D62D1"/>
    <w:pPr>
      <w:spacing w:before="60" w:after="60"/>
      <w:jc w:val="both"/>
    </w:pPr>
    <w:rPr>
      <w:rFonts w:ascii="Arial" w:eastAsiaTheme="minorHAnsi" w:hAnsi="Arial" w:cs="Arial"/>
      <w:b/>
      <w:color w:val="FFFFFF" w:themeColor="background1"/>
      <w:sz w:val="24"/>
      <w:szCs w:val="22"/>
    </w:rPr>
  </w:style>
  <w:style w:type="character" w:customStyle="1" w:styleId="InformationTableHeaderChar">
    <w:name w:val="Information Table Header Char"/>
    <w:basedOn w:val="DefaultParagraphFont"/>
    <w:link w:val="InformationTableHeader"/>
    <w:rsid w:val="001D62D1"/>
    <w:rPr>
      <w:rFonts w:ascii="Arial" w:hAnsi="Arial" w:cs="Arial"/>
      <w:b/>
      <w:color w:val="FFFFFF" w:themeColor="background1"/>
      <w:sz w:val="24"/>
      <w:lang w:val="en-CA"/>
    </w:rPr>
  </w:style>
  <w:style w:type="paragraph" w:customStyle="1" w:styleId="TableAccentText">
    <w:name w:val="Table Accent Text"/>
    <w:basedOn w:val="Normal"/>
    <w:qFormat/>
    <w:rsid w:val="001D62D1"/>
    <w:pPr>
      <w:spacing w:before="60" w:after="60" w:line="288" w:lineRule="auto"/>
      <w:jc w:val="both"/>
    </w:pPr>
    <w:rPr>
      <w:rFonts w:ascii="Arial" w:eastAsiaTheme="minorHAnsi" w:hAnsi="Arial" w:cstheme="minorBidi"/>
      <w:b/>
      <w:color w:val="839A99" w:themeColor="accent2" w:themeShade="BF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D1"/>
    <w:rPr>
      <w:rFonts w:ascii="Arial" w:eastAsiaTheme="majorEastAsia" w:hAnsi="Arial" w:cstheme="majorBidi"/>
      <w:b/>
      <w:bCs/>
      <w:color w:val="235BA8" w:themeColor="accent4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2D1"/>
    <w:rPr>
      <w:rFonts w:ascii="Arial" w:eastAsiaTheme="majorEastAsia" w:hAnsi="Arial" w:cstheme="majorBidi"/>
      <w:b/>
      <w:bCs/>
      <w:color w:val="337D58" w:themeColor="accent3"/>
      <w:lang w:val="en-CA"/>
    </w:rPr>
  </w:style>
  <w:style w:type="character" w:customStyle="1" w:styleId="Heading4Char">
    <w:name w:val="Heading 4 Char"/>
    <w:basedOn w:val="DefaultParagraphFont"/>
    <w:link w:val="Heading4"/>
    <w:rsid w:val="001D62D1"/>
    <w:rPr>
      <w:rFonts w:ascii="Arial" w:eastAsiaTheme="majorEastAsia" w:hAnsi="Arial" w:cstheme="majorBidi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D62D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62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6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62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62D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D62D1"/>
    <w:pPr>
      <w:spacing w:before="120"/>
      <w:jc w:val="both"/>
    </w:pPr>
    <w:rPr>
      <w:rFonts w:ascii="Arial" w:eastAsiaTheme="minorHAnsi" w:hAnsi="Arial" w:cs="Arial"/>
      <w:b/>
      <w:iCs/>
      <w:sz w:val="20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62D1"/>
    <w:rPr>
      <w:b/>
      <w:bCs/>
      <w:color w:val="009E77" w:themeColor="accent1"/>
    </w:rPr>
  </w:style>
  <w:style w:type="paragraph" w:styleId="NoSpacing">
    <w:name w:val="No Spacing"/>
    <w:uiPriority w:val="1"/>
    <w:qFormat/>
    <w:rsid w:val="001D62D1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2D1"/>
    <w:rPr>
      <w:rFonts w:ascii="Arial" w:hAnsi="Arial"/>
    </w:rPr>
  </w:style>
  <w:style w:type="table" w:styleId="TableGrid">
    <w:name w:val="Table Grid"/>
    <w:basedOn w:val="TableNormal"/>
    <w:uiPriority w:val="39"/>
    <w:rsid w:val="0075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Heading2"/>
    <w:link w:val="APPENDIX2Char"/>
    <w:qFormat/>
    <w:rsid w:val="0075393E"/>
    <w:pPr>
      <w:widowControl w:val="0"/>
      <w:numPr>
        <w:ilvl w:val="0"/>
        <w:numId w:val="0"/>
      </w:numPr>
      <w:tabs>
        <w:tab w:val="left" w:pos="709"/>
      </w:tabs>
      <w:spacing w:before="240" w:after="120"/>
      <w:jc w:val="left"/>
    </w:pPr>
    <w:rPr>
      <w:rFonts w:ascii="Calibri" w:eastAsia="Times New Roman" w:hAnsi="Calibri" w:cs="Arial"/>
      <w:iCs/>
      <w:color w:val="auto"/>
      <w:szCs w:val="22"/>
      <w:lang w:val="en-US"/>
    </w:rPr>
  </w:style>
  <w:style w:type="character" w:customStyle="1" w:styleId="APPENDIX2Char">
    <w:name w:val="APPENDIX 2 Char"/>
    <w:basedOn w:val="DefaultParagraphFont"/>
    <w:link w:val="APPENDIX2"/>
    <w:rsid w:val="0075393E"/>
    <w:rPr>
      <w:rFonts w:ascii="Calibri" w:eastAsia="Times New Roman" w:hAnsi="Calibri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678565"/>
      </a:dk2>
      <a:lt2>
        <a:srgbClr val="F3E564"/>
      </a:lt2>
      <a:accent1>
        <a:srgbClr val="009E77"/>
      </a:accent1>
      <a:accent2>
        <a:srgbClr val="B9C6C5"/>
      </a:accent2>
      <a:accent3>
        <a:srgbClr val="337D58"/>
      </a:accent3>
      <a:accent4>
        <a:srgbClr val="235BA8"/>
      </a:accent4>
      <a:accent5>
        <a:srgbClr val="BBBCBE"/>
      </a:accent5>
      <a:accent6>
        <a:srgbClr val="3B3B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A27852D5A949837B081E4828B6E5" ma:contentTypeVersion="11" ma:contentTypeDescription="Create a new document." ma:contentTypeScope="" ma:versionID="d62e66735d0535dca94a8088665da822">
  <xsd:schema xmlns:xsd="http://www.w3.org/2001/XMLSchema" xmlns:xs="http://www.w3.org/2001/XMLSchema" xmlns:p="http://schemas.microsoft.com/office/2006/metadata/properties" xmlns:ns2="d4b9214a-7757-4da3-917d-f5af37a55a4e" xmlns:ns3="60037831-0767-4f64-83e6-8f3a4c1ad458" targetNamespace="http://schemas.microsoft.com/office/2006/metadata/properties" ma:root="true" ma:fieldsID="b53027840a4c3e1fd1356a1555fff761" ns2:_="" ns3:_="">
    <xsd:import namespace="d4b9214a-7757-4da3-917d-f5af37a55a4e"/>
    <xsd:import namespace="60037831-0767-4f64-83e6-8f3a4c1a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9214a-7757-4da3-917d-f5af37a55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7831-0767-4f64-83e6-8f3a4c1a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DCA3B-4FCA-4D12-9503-84F28E597773}"/>
</file>

<file path=customXml/itemProps2.xml><?xml version="1.0" encoding="utf-8"?>
<ds:datastoreItem xmlns:ds="http://schemas.openxmlformats.org/officeDocument/2006/customXml" ds:itemID="{B6B04CA8-C02F-482C-8305-868FAA17AC6F}"/>
</file>

<file path=customXml/itemProps3.xml><?xml version="1.0" encoding="utf-8"?>
<ds:datastoreItem xmlns:ds="http://schemas.openxmlformats.org/officeDocument/2006/customXml" ds:itemID="{56B8D140-ED83-4C9B-AE78-70E5628B3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Michael Benson</cp:lastModifiedBy>
  <cp:revision>1</cp:revision>
  <dcterms:created xsi:type="dcterms:W3CDTF">2022-01-28T17:21:00Z</dcterms:created>
  <dcterms:modified xsi:type="dcterms:W3CDTF">2022-01-28T17:21:00Z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0x010100D7E6A27852D5A949837B081E4828B6E5</vt:lpwstr>
  </property>
</Properties>
</file>